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DE0" w:rsidRDefault="00086DE0" w:rsidP="00086DE0">
      <w:pPr>
        <w:jc w:val="center"/>
        <w:rPr>
          <w:b/>
          <w:snapToGrid w:val="0"/>
          <w:lang w:eastAsia="en-US"/>
        </w:rPr>
      </w:pPr>
      <w:r w:rsidRPr="0016369E">
        <w:rPr>
          <w:b/>
          <w:snapToGrid w:val="0"/>
          <w:lang w:eastAsia="en-US"/>
        </w:rPr>
        <w:t>Izvješće o provedenom postupku javnog nadmetanja za kupnju dionica</w:t>
      </w:r>
    </w:p>
    <w:p w:rsidR="00086DE0" w:rsidRDefault="00086DE0" w:rsidP="00086DE0">
      <w:pPr>
        <w:jc w:val="center"/>
        <w:rPr>
          <w:b/>
          <w:snapToGrid w:val="0"/>
          <w:lang w:eastAsia="en-US"/>
        </w:rPr>
      </w:pPr>
      <w:r>
        <w:rPr>
          <w:b/>
          <w:snapToGrid w:val="0"/>
          <w:lang w:eastAsia="en-US"/>
        </w:rPr>
        <w:t xml:space="preserve"> i poslovnih udjela</w:t>
      </w:r>
      <w:r w:rsidRPr="0016369E">
        <w:rPr>
          <w:b/>
          <w:snapToGrid w:val="0"/>
          <w:lang w:eastAsia="en-US"/>
        </w:rPr>
        <w:t xml:space="preserve"> </w:t>
      </w:r>
      <w:r>
        <w:rPr>
          <w:b/>
          <w:snapToGrid w:val="0"/>
          <w:lang w:eastAsia="en-US"/>
        </w:rPr>
        <w:t xml:space="preserve">trgovačkih </w:t>
      </w:r>
      <w:r w:rsidRPr="0016369E">
        <w:rPr>
          <w:b/>
          <w:snapToGrid w:val="0"/>
          <w:lang w:eastAsia="en-US"/>
        </w:rPr>
        <w:t>društava u vlasništvu Republike Hrvatske</w:t>
      </w:r>
      <w:r>
        <w:rPr>
          <w:b/>
          <w:snapToGrid w:val="0"/>
          <w:lang w:eastAsia="en-US"/>
        </w:rPr>
        <w:t>,</w:t>
      </w:r>
    </w:p>
    <w:p w:rsidR="00086DE0" w:rsidRDefault="00086DE0" w:rsidP="00086DE0">
      <w:pPr>
        <w:jc w:val="center"/>
        <w:rPr>
          <w:b/>
          <w:snapToGrid w:val="0"/>
          <w:lang w:eastAsia="en-US"/>
        </w:rPr>
      </w:pPr>
      <w:r>
        <w:rPr>
          <w:b/>
          <w:snapToGrid w:val="0"/>
          <w:lang w:eastAsia="en-US"/>
        </w:rPr>
        <w:t>Hrvatskog zavoda za mirovinsko osiguranje i Centra za restrukturiranje</w:t>
      </w:r>
    </w:p>
    <w:p w:rsidR="00086DE0" w:rsidRPr="0016369E" w:rsidRDefault="00086DE0" w:rsidP="00086DE0">
      <w:pPr>
        <w:jc w:val="center"/>
        <w:rPr>
          <w:b/>
          <w:snapToGrid w:val="0"/>
          <w:lang w:eastAsia="en-US"/>
        </w:rPr>
      </w:pPr>
      <w:r>
        <w:rPr>
          <w:b/>
          <w:snapToGrid w:val="0"/>
          <w:lang w:eastAsia="en-US"/>
        </w:rPr>
        <w:t>i prodaju</w:t>
      </w:r>
      <w:r w:rsidRPr="003851C5">
        <w:t xml:space="preserve"> </w:t>
      </w:r>
      <w:r w:rsidRPr="003851C5">
        <w:rPr>
          <w:b/>
          <w:snapToGrid w:val="0"/>
          <w:lang w:eastAsia="en-US"/>
        </w:rPr>
        <w:t xml:space="preserve">iz oglasa od </w:t>
      </w:r>
      <w:r>
        <w:rPr>
          <w:b/>
          <w:snapToGrid w:val="0"/>
          <w:lang w:eastAsia="en-US"/>
        </w:rPr>
        <w:t>27.8</w:t>
      </w:r>
      <w:r w:rsidRPr="003851C5">
        <w:rPr>
          <w:b/>
          <w:snapToGrid w:val="0"/>
          <w:lang w:eastAsia="en-US"/>
        </w:rPr>
        <w:t>.2019.</w:t>
      </w:r>
    </w:p>
    <w:p w:rsidR="00086DE0" w:rsidRDefault="00086DE0" w:rsidP="00086DE0">
      <w:pPr>
        <w:spacing w:after="120"/>
        <w:jc w:val="both"/>
        <w:rPr>
          <w:snapToGrid w:val="0"/>
          <w:lang w:eastAsia="en-US"/>
        </w:rPr>
      </w:pPr>
    </w:p>
    <w:p w:rsidR="00086DE0" w:rsidRPr="0016369E" w:rsidRDefault="00086DE0" w:rsidP="00086DE0">
      <w:pPr>
        <w:jc w:val="both"/>
        <w:rPr>
          <w:snapToGrid w:val="0"/>
          <w:lang w:eastAsia="en-US"/>
        </w:rPr>
      </w:pPr>
      <w:r w:rsidRPr="00C468BA">
        <w:rPr>
          <w:snapToGrid w:val="0"/>
          <w:lang w:eastAsia="en-US"/>
        </w:rPr>
        <w:t>Postupak javnog nadmetanja za prodaju dionica i poslovnih udjela društava, navedenih u tablici,</w:t>
      </w:r>
      <w:r w:rsidRPr="00C468BA">
        <w:t xml:space="preserve"> u vlasništvu Republike Hrvatske, Hrvatskog zavoda za mirovinsko osiguranje i Centra za restrukturiranje i prodaju</w:t>
      </w:r>
      <w:r w:rsidRPr="00C468BA">
        <w:rPr>
          <w:snapToGrid w:val="0"/>
          <w:lang w:eastAsia="en-US"/>
        </w:rPr>
        <w:t xml:space="preserve"> (dalje u tekstu: CERP) sukladno odredbama </w:t>
      </w:r>
      <w:r w:rsidRPr="00361F2F">
        <w:t>Zakon</w:t>
      </w:r>
      <w:r>
        <w:t>a</w:t>
      </w:r>
      <w:r w:rsidRPr="00361F2F">
        <w:t xml:space="preserve"> o upravljanju državnom imovinom (Narodne novine, broj: 52/18</w:t>
      </w:r>
      <w:r>
        <w:t xml:space="preserve"> - </w:t>
      </w:r>
      <w:r w:rsidRPr="00C468BA">
        <w:t xml:space="preserve">dalje u tekstu: Zakon) i </w:t>
      </w:r>
      <w:r w:rsidRPr="00361F2F">
        <w:rPr>
          <w:snapToGrid w:val="0"/>
          <w:lang w:eastAsia="en-US"/>
        </w:rPr>
        <w:t>Uredb</w:t>
      </w:r>
      <w:r>
        <w:rPr>
          <w:snapToGrid w:val="0"/>
          <w:lang w:eastAsia="en-US"/>
        </w:rPr>
        <w:t>e</w:t>
      </w:r>
      <w:r w:rsidRPr="00361F2F">
        <w:rPr>
          <w:snapToGrid w:val="0"/>
          <w:lang w:eastAsia="en-US"/>
        </w:rPr>
        <w:t xml:space="preserve"> o načinima raspolaganja dionicama i udjelima (Narodne novine, broj 95/18</w:t>
      </w:r>
      <w:r>
        <w:rPr>
          <w:snapToGrid w:val="0"/>
          <w:lang w:eastAsia="en-US"/>
        </w:rPr>
        <w:t xml:space="preserve"> -</w:t>
      </w:r>
      <w:r w:rsidRPr="00C468BA">
        <w:rPr>
          <w:snapToGrid w:val="0"/>
          <w:lang w:eastAsia="en-US"/>
        </w:rPr>
        <w:t xml:space="preserve"> dalje u tekstu: Uredba), započeo je objavom </w:t>
      </w:r>
      <w:r>
        <w:rPr>
          <w:snapToGrid w:val="0"/>
          <w:lang w:eastAsia="en-US"/>
        </w:rPr>
        <w:t xml:space="preserve">Javnog </w:t>
      </w:r>
      <w:r w:rsidRPr="00C468BA">
        <w:rPr>
          <w:snapToGrid w:val="0"/>
          <w:lang w:eastAsia="en-US"/>
        </w:rPr>
        <w:t>poziva za kupnju dionica</w:t>
      </w:r>
      <w:r>
        <w:rPr>
          <w:snapToGrid w:val="0"/>
          <w:lang w:eastAsia="en-US"/>
        </w:rPr>
        <w:t xml:space="preserve"> dolje navedenih društava</w:t>
      </w:r>
      <w:r w:rsidRPr="0020699E">
        <w:t xml:space="preserve"> </w:t>
      </w:r>
      <w:r w:rsidRPr="0020699E">
        <w:rPr>
          <w:snapToGrid w:val="0"/>
          <w:lang w:eastAsia="en-US"/>
        </w:rPr>
        <w:t xml:space="preserve">dana </w:t>
      </w:r>
      <w:r>
        <w:rPr>
          <w:snapToGrid w:val="0"/>
          <w:lang w:eastAsia="en-US"/>
        </w:rPr>
        <w:t>27</w:t>
      </w:r>
      <w:r w:rsidRPr="0020699E">
        <w:rPr>
          <w:snapToGrid w:val="0"/>
          <w:lang w:eastAsia="en-US"/>
        </w:rPr>
        <w:t xml:space="preserve">. </w:t>
      </w:r>
      <w:r>
        <w:rPr>
          <w:snapToGrid w:val="0"/>
          <w:lang w:eastAsia="en-US"/>
        </w:rPr>
        <w:t>kolovoza</w:t>
      </w:r>
      <w:r w:rsidRPr="0020699E">
        <w:rPr>
          <w:snapToGrid w:val="0"/>
          <w:lang w:eastAsia="en-US"/>
        </w:rPr>
        <w:t xml:space="preserve"> 201</w:t>
      </w:r>
      <w:r>
        <w:rPr>
          <w:snapToGrid w:val="0"/>
          <w:lang w:eastAsia="en-US"/>
        </w:rPr>
        <w:t>9</w:t>
      </w:r>
      <w:r w:rsidRPr="0020699E">
        <w:rPr>
          <w:snapToGrid w:val="0"/>
          <w:lang w:eastAsia="en-US"/>
        </w:rPr>
        <w:t>. godine u dnevnim novinama Jutarnji list i na web s</w:t>
      </w:r>
      <w:r>
        <w:rPr>
          <w:snapToGrid w:val="0"/>
          <w:lang w:eastAsia="en-US"/>
        </w:rPr>
        <w:t>tranicama HGK i CERP-a</w:t>
      </w:r>
      <w:r w:rsidRPr="0020699E">
        <w:rPr>
          <w:snapToGrid w:val="0"/>
          <w:lang w:eastAsia="en-US"/>
        </w:rPr>
        <w:t>.</w:t>
      </w:r>
    </w:p>
    <w:p w:rsidR="00086DE0" w:rsidRDefault="00086DE0" w:rsidP="00086DE0">
      <w:pPr>
        <w:jc w:val="both"/>
        <w:rPr>
          <w:snapToGrid w:val="0"/>
          <w:lang w:eastAsia="en-US"/>
        </w:rPr>
      </w:pPr>
    </w:p>
    <w:tbl>
      <w:tblPr>
        <w:tblpPr w:leftFromText="45" w:rightFromText="45" w:vertAnchor="text" w:tblpX="75"/>
        <w:tblW w:w="9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642"/>
        <w:gridCol w:w="3402"/>
        <w:gridCol w:w="1843"/>
        <w:gridCol w:w="1701"/>
        <w:gridCol w:w="1559"/>
      </w:tblGrid>
      <w:tr w:rsidR="00086DE0" w:rsidRPr="003851C5" w:rsidTr="00764895">
        <w:trPr>
          <w:trHeight w:val="484"/>
        </w:trPr>
        <w:tc>
          <w:tcPr>
            <w:tcW w:w="642" w:type="dxa"/>
            <w:shd w:val="clear" w:color="auto" w:fill="FABF8F" w:themeFill="accent6" w:themeFillTint="99"/>
            <w:tcMar>
              <w:top w:w="75" w:type="dxa"/>
              <w:left w:w="75" w:type="dxa"/>
              <w:bottom w:w="75" w:type="dxa"/>
              <w:right w:w="75" w:type="dxa"/>
            </w:tcMar>
            <w:vAlign w:val="center"/>
            <w:hideMark/>
          </w:tcPr>
          <w:p w:rsidR="00086DE0" w:rsidRPr="003851C5" w:rsidRDefault="00086DE0" w:rsidP="00764895">
            <w:pPr>
              <w:jc w:val="center"/>
              <w:rPr>
                <w:snapToGrid w:val="0"/>
                <w:sz w:val="20"/>
                <w:szCs w:val="20"/>
                <w:lang w:eastAsia="en-US"/>
              </w:rPr>
            </w:pPr>
            <w:r w:rsidRPr="003851C5">
              <w:rPr>
                <w:b/>
                <w:bCs/>
                <w:snapToGrid w:val="0"/>
                <w:sz w:val="20"/>
                <w:szCs w:val="20"/>
                <w:lang w:eastAsia="en-US"/>
              </w:rPr>
              <w:t>R.br.</w:t>
            </w:r>
          </w:p>
        </w:tc>
        <w:tc>
          <w:tcPr>
            <w:tcW w:w="3402" w:type="dxa"/>
            <w:shd w:val="clear" w:color="auto" w:fill="FABF8F" w:themeFill="accent6" w:themeFillTint="99"/>
            <w:tcMar>
              <w:top w:w="75" w:type="dxa"/>
              <w:left w:w="75" w:type="dxa"/>
              <w:bottom w:w="75" w:type="dxa"/>
              <w:right w:w="75" w:type="dxa"/>
            </w:tcMar>
            <w:vAlign w:val="center"/>
            <w:hideMark/>
          </w:tcPr>
          <w:p w:rsidR="00086DE0" w:rsidRPr="003851C5" w:rsidRDefault="00086DE0" w:rsidP="00764895">
            <w:pPr>
              <w:jc w:val="center"/>
              <w:rPr>
                <w:snapToGrid w:val="0"/>
                <w:sz w:val="20"/>
                <w:szCs w:val="20"/>
                <w:lang w:eastAsia="en-US"/>
              </w:rPr>
            </w:pPr>
            <w:r w:rsidRPr="003851C5">
              <w:rPr>
                <w:b/>
                <w:bCs/>
                <w:snapToGrid w:val="0"/>
                <w:sz w:val="20"/>
                <w:szCs w:val="20"/>
                <w:lang w:eastAsia="en-US"/>
              </w:rPr>
              <w:t>Društvo</w:t>
            </w:r>
          </w:p>
        </w:tc>
        <w:tc>
          <w:tcPr>
            <w:tcW w:w="1843" w:type="dxa"/>
            <w:shd w:val="clear" w:color="auto" w:fill="FABF8F" w:themeFill="accent6" w:themeFillTint="99"/>
            <w:tcMar>
              <w:top w:w="75" w:type="dxa"/>
              <w:left w:w="75" w:type="dxa"/>
              <w:bottom w:w="75" w:type="dxa"/>
              <w:right w:w="75" w:type="dxa"/>
            </w:tcMar>
            <w:vAlign w:val="center"/>
            <w:hideMark/>
          </w:tcPr>
          <w:p w:rsidR="00086DE0" w:rsidRPr="003851C5" w:rsidRDefault="00086DE0" w:rsidP="00764895">
            <w:pPr>
              <w:jc w:val="center"/>
              <w:rPr>
                <w:snapToGrid w:val="0"/>
                <w:sz w:val="20"/>
                <w:szCs w:val="20"/>
                <w:lang w:eastAsia="en-US"/>
              </w:rPr>
            </w:pPr>
            <w:r w:rsidRPr="003851C5">
              <w:rPr>
                <w:b/>
                <w:bCs/>
                <w:snapToGrid w:val="0"/>
                <w:sz w:val="20"/>
                <w:szCs w:val="20"/>
                <w:lang w:eastAsia="en-US"/>
              </w:rPr>
              <w:t>Broj dionica</w:t>
            </w:r>
            <w:r>
              <w:rPr>
                <w:b/>
                <w:bCs/>
                <w:snapToGrid w:val="0"/>
                <w:sz w:val="20"/>
                <w:szCs w:val="20"/>
                <w:lang w:eastAsia="en-US"/>
              </w:rPr>
              <w:t xml:space="preserve"> </w:t>
            </w:r>
            <w:r w:rsidRPr="003851C5">
              <w:rPr>
                <w:b/>
                <w:bCs/>
                <w:snapToGrid w:val="0"/>
                <w:sz w:val="20"/>
                <w:szCs w:val="20"/>
                <w:lang w:eastAsia="en-US"/>
              </w:rPr>
              <w:t>/ poslovnih udjela</w:t>
            </w:r>
          </w:p>
        </w:tc>
        <w:tc>
          <w:tcPr>
            <w:tcW w:w="1701" w:type="dxa"/>
            <w:shd w:val="clear" w:color="auto" w:fill="FABF8F" w:themeFill="accent6" w:themeFillTint="99"/>
            <w:tcMar>
              <w:top w:w="75" w:type="dxa"/>
              <w:left w:w="75" w:type="dxa"/>
              <w:bottom w:w="75" w:type="dxa"/>
              <w:right w:w="75" w:type="dxa"/>
            </w:tcMar>
            <w:vAlign w:val="center"/>
            <w:hideMark/>
          </w:tcPr>
          <w:p w:rsidR="00086DE0" w:rsidRPr="003851C5" w:rsidRDefault="00086DE0" w:rsidP="00764895">
            <w:pPr>
              <w:jc w:val="center"/>
              <w:rPr>
                <w:snapToGrid w:val="0"/>
                <w:sz w:val="20"/>
                <w:szCs w:val="20"/>
                <w:lang w:eastAsia="en-US"/>
              </w:rPr>
            </w:pPr>
            <w:r w:rsidRPr="003851C5">
              <w:rPr>
                <w:b/>
                <w:bCs/>
                <w:snapToGrid w:val="0"/>
                <w:sz w:val="20"/>
                <w:szCs w:val="20"/>
                <w:lang w:eastAsia="en-US"/>
              </w:rPr>
              <w:t>% u temeljnom kapitalu</w:t>
            </w:r>
          </w:p>
        </w:tc>
        <w:tc>
          <w:tcPr>
            <w:tcW w:w="1559" w:type="dxa"/>
            <w:shd w:val="clear" w:color="auto" w:fill="FABF8F" w:themeFill="accent6" w:themeFillTint="99"/>
            <w:tcMar>
              <w:top w:w="75" w:type="dxa"/>
              <w:left w:w="75" w:type="dxa"/>
              <w:bottom w:w="75" w:type="dxa"/>
              <w:right w:w="75" w:type="dxa"/>
            </w:tcMar>
            <w:vAlign w:val="center"/>
            <w:hideMark/>
          </w:tcPr>
          <w:p w:rsidR="00086DE0" w:rsidRPr="003851C5" w:rsidRDefault="00086DE0" w:rsidP="00764895">
            <w:pPr>
              <w:jc w:val="center"/>
              <w:rPr>
                <w:snapToGrid w:val="0"/>
                <w:sz w:val="20"/>
                <w:szCs w:val="20"/>
                <w:lang w:eastAsia="en-US"/>
              </w:rPr>
            </w:pPr>
            <w:r w:rsidRPr="003851C5">
              <w:rPr>
                <w:b/>
                <w:bCs/>
                <w:snapToGrid w:val="0"/>
                <w:sz w:val="20"/>
                <w:szCs w:val="20"/>
                <w:lang w:eastAsia="en-US"/>
              </w:rPr>
              <w:t>Početna cijena prodaje u HRK</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hideMark/>
          </w:tcPr>
          <w:p w:rsidR="00086DE0" w:rsidRDefault="00086DE0" w:rsidP="00764895">
            <w:pPr>
              <w:jc w:val="center"/>
              <w:rPr>
                <w:sz w:val="20"/>
                <w:szCs w:val="20"/>
              </w:rPr>
            </w:pPr>
            <w:r>
              <w:rPr>
                <w:sz w:val="20"/>
                <w:szCs w:val="20"/>
              </w:rPr>
              <w:t>1</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CHROMOS BOJE I LAKOVI d.d., Zagreb</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175</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0,06</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81.200,00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hideMark/>
          </w:tcPr>
          <w:p w:rsidR="00086DE0" w:rsidRDefault="00086DE0" w:rsidP="00764895">
            <w:pPr>
              <w:jc w:val="center"/>
              <w:rPr>
                <w:sz w:val="20"/>
                <w:szCs w:val="20"/>
              </w:rPr>
            </w:pPr>
            <w:r>
              <w:rPr>
                <w:sz w:val="20"/>
                <w:szCs w:val="20"/>
              </w:rPr>
              <w:t>2</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FINVEST CORP d.d., Čabar</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3</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0,0005</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63,00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hideMark/>
          </w:tcPr>
          <w:p w:rsidR="00086DE0" w:rsidRDefault="00086DE0" w:rsidP="00764895">
            <w:pPr>
              <w:jc w:val="center"/>
              <w:rPr>
                <w:sz w:val="20"/>
                <w:szCs w:val="20"/>
              </w:rPr>
            </w:pPr>
            <w:r>
              <w:rPr>
                <w:sz w:val="20"/>
                <w:szCs w:val="20"/>
              </w:rPr>
              <w:t>3</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Hotel CENTRAL d.d., Zagreb</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82</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0,17</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13.530,00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hideMark/>
          </w:tcPr>
          <w:p w:rsidR="00086DE0" w:rsidRDefault="00086DE0" w:rsidP="00764895">
            <w:pPr>
              <w:jc w:val="center"/>
              <w:rPr>
                <w:sz w:val="20"/>
                <w:szCs w:val="20"/>
              </w:rPr>
            </w:pPr>
            <w:r>
              <w:rPr>
                <w:sz w:val="20"/>
                <w:szCs w:val="20"/>
              </w:rPr>
              <w:t>4</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HOTELI ZADAR d.d., Zadar</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18</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0,01</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7.290,00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hideMark/>
          </w:tcPr>
          <w:p w:rsidR="00086DE0" w:rsidRDefault="00086DE0" w:rsidP="00764895">
            <w:pPr>
              <w:jc w:val="center"/>
              <w:rPr>
                <w:sz w:val="20"/>
                <w:szCs w:val="20"/>
              </w:rPr>
            </w:pPr>
            <w:r>
              <w:rPr>
                <w:sz w:val="20"/>
                <w:szCs w:val="20"/>
              </w:rPr>
              <w:t>5</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INFOSISTEM d.d., Zagreb</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22</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0,04</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1.474,00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hideMark/>
          </w:tcPr>
          <w:p w:rsidR="00086DE0" w:rsidRDefault="00086DE0" w:rsidP="00764895">
            <w:pPr>
              <w:jc w:val="center"/>
              <w:rPr>
                <w:sz w:val="20"/>
                <w:szCs w:val="20"/>
              </w:rPr>
            </w:pPr>
            <w:r>
              <w:rPr>
                <w:sz w:val="20"/>
                <w:szCs w:val="20"/>
              </w:rPr>
              <w:t>6</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MARASKA d.d., Zadar</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209</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0,01</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7.106,00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hideMark/>
          </w:tcPr>
          <w:p w:rsidR="00086DE0" w:rsidRDefault="00086DE0" w:rsidP="00764895">
            <w:pPr>
              <w:jc w:val="center"/>
              <w:rPr>
                <w:sz w:val="20"/>
                <w:szCs w:val="20"/>
              </w:rPr>
            </w:pPr>
            <w:r>
              <w:rPr>
                <w:sz w:val="20"/>
                <w:szCs w:val="20"/>
              </w:rPr>
              <w:t>7</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MEĐIMURKA d.d., Čakovec</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197</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0,39</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19.700,00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hideMark/>
          </w:tcPr>
          <w:p w:rsidR="00086DE0" w:rsidRDefault="00086DE0" w:rsidP="00764895">
            <w:pPr>
              <w:jc w:val="center"/>
              <w:rPr>
                <w:sz w:val="20"/>
                <w:szCs w:val="20"/>
              </w:rPr>
            </w:pPr>
            <w:r>
              <w:rPr>
                <w:sz w:val="20"/>
                <w:szCs w:val="20"/>
              </w:rPr>
              <w:t>8</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MEĐIMURJE - BIDRA d.d., Čakovec</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438</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5,18</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15.330,00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hideMark/>
          </w:tcPr>
          <w:p w:rsidR="00086DE0" w:rsidRDefault="00086DE0" w:rsidP="00764895">
            <w:pPr>
              <w:jc w:val="center"/>
              <w:rPr>
                <w:sz w:val="20"/>
                <w:szCs w:val="20"/>
              </w:rPr>
            </w:pPr>
            <w:r>
              <w:rPr>
                <w:sz w:val="20"/>
                <w:szCs w:val="20"/>
              </w:rPr>
              <w:t>9</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OPREMA-STROJEVI - d.d., Ludbreg (Grad Ludbreg)</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81</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0,20</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18.630,00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hideMark/>
          </w:tcPr>
          <w:p w:rsidR="00086DE0" w:rsidRDefault="00086DE0" w:rsidP="00764895">
            <w:pPr>
              <w:jc w:val="center"/>
              <w:rPr>
                <w:sz w:val="20"/>
                <w:szCs w:val="20"/>
              </w:rPr>
            </w:pPr>
            <w:r>
              <w:rPr>
                <w:sz w:val="20"/>
                <w:szCs w:val="20"/>
              </w:rPr>
              <w:t>10</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PARKOVI d.d., Varaždin</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9</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0,06</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14.400,00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11</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PREHRANA, d.d., Kamen (Grad Split)</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39</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0,03</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3.900,00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12</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RIBNJAČARSTVO POLJANA d.d., Ribnjaci</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162</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0,51</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40.500,00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13</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STRAŽAPLASTIKA d.d., Hum Na Sutli</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2</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0,00003</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280,00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14</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TRIBINA d.o.o., Zagreb</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10</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14,81</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18.900,00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15</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ĐAKOVAČKA VINA d.d., Mandićevac (Općina Drenje)</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75</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0,03</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5.025,00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16</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UTD RAGUSA d.d., Dubrovnik</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216</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0,07</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22.125,00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17</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UTENZILIJA d.d., Zagreb</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41</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0,15</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861,00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18</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VELEPROMET VUKOVAR d.d., Vukovar</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167</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0,04</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6.680,00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lastRenderedPageBreak/>
              <w:t>19</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VIS Konfekcija d.d., Varaždin</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12</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0,06</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14.772,00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20</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ŽITOPROIZVOD d.d., Karlovac</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14</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0,01</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420,00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21</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Hotel Dubrovnik d.d., Zagreb</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474</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0,18</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237.000,00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22</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MERCATOR-H d.o.o., Sesvete</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1</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0,22</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227.671,00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23</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PROMET GRAĐENJE d.o.o., Požega</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1</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3,36</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287.000,00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24</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JADRAN HOTELI d.d., Rijeka</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389</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0,15</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105.419,00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25</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KAMEN d.d., Pazin</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235</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0,24</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104.340,00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26</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Cresanka d.d., Cres</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96</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0,33</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212.256,00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27</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GIRK KALUN d.d., Drniš</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4.479</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2,62</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188.118,00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28</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HOTELI KOLOČEP d.d., Koločep (Grad Dubrovnik)</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6.027</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1,68</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783.510,00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29</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TANKERSKA PLOVIDBA d.d., Zadar</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926</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0,17</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1.615.870,00</w:t>
            </w:r>
          </w:p>
        </w:tc>
      </w:tr>
      <w:tr w:rsidR="00086DE0" w:rsidRPr="003851C5" w:rsidTr="00764895">
        <w:trPr>
          <w:trHeight w:val="285"/>
        </w:trPr>
        <w:tc>
          <w:tcPr>
            <w:tcW w:w="642"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30</w:t>
            </w:r>
          </w:p>
        </w:tc>
        <w:tc>
          <w:tcPr>
            <w:tcW w:w="3402" w:type="dxa"/>
            <w:shd w:val="clear" w:color="auto" w:fill="auto"/>
            <w:noWrap/>
            <w:tcMar>
              <w:top w:w="75" w:type="dxa"/>
              <w:left w:w="75" w:type="dxa"/>
              <w:bottom w:w="75" w:type="dxa"/>
              <w:right w:w="75" w:type="dxa"/>
            </w:tcMar>
            <w:vAlign w:val="center"/>
          </w:tcPr>
          <w:p w:rsidR="00086DE0" w:rsidRDefault="00086DE0" w:rsidP="00764895">
            <w:pPr>
              <w:rPr>
                <w:sz w:val="20"/>
                <w:szCs w:val="20"/>
              </w:rPr>
            </w:pPr>
            <w:r>
              <w:rPr>
                <w:sz w:val="20"/>
                <w:szCs w:val="20"/>
              </w:rPr>
              <w:t>LAGUNA NOVIGRAD d.d., Novigrad</w:t>
            </w:r>
          </w:p>
        </w:tc>
        <w:tc>
          <w:tcPr>
            <w:tcW w:w="1843"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6.178</w:t>
            </w:r>
          </w:p>
        </w:tc>
        <w:tc>
          <w:tcPr>
            <w:tcW w:w="1701" w:type="dxa"/>
            <w:shd w:val="clear" w:color="auto" w:fill="auto"/>
            <w:noWrap/>
            <w:tcMar>
              <w:top w:w="75" w:type="dxa"/>
              <w:left w:w="75" w:type="dxa"/>
              <w:bottom w:w="75" w:type="dxa"/>
              <w:right w:w="75" w:type="dxa"/>
            </w:tcMar>
            <w:vAlign w:val="center"/>
          </w:tcPr>
          <w:p w:rsidR="00086DE0" w:rsidRDefault="00086DE0" w:rsidP="00764895">
            <w:pPr>
              <w:jc w:val="center"/>
              <w:rPr>
                <w:sz w:val="20"/>
                <w:szCs w:val="20"/>
              </w:rPr>
            </w:pPr>
            <w:r>
              <w:rPr>
                <w:sz w:val="20"/>
                <w:szCs w:val="20"/>
              </w:rPr>
              <w:t>0,70</w:t>
            </w:r>
          </w:p>
        </w:tc>
        <w:tc>
          <w:tcPr>
            <w:tcW w:w="1559" w:type="dxa"/>
            <w:shd w:val="clear" w:color="auto" w:fill="auto"/>
            <w:tcMar>
              <w:top w:w="75" w:type="dxa"/>
              <w:left w:w="75" w:type="dxa"/>
              <w:bottom w:w="75" w:type="dxa"/>
              <w:right w:w="75" w:type="dxa"/>
            </w:tcMar>
            <w:vAlign w:val="center"/>
          </w:tcPr>
          <w:p w:rsidR="00086DE0" w:rsidRDefault="00086DE0" w:rsidP="00764895">
            <w:pPr>
              <w:jc w:val="center"/>
              <w:rPr>
                <w:sz w:val="20"/>
                <w:szCs w:val="20"/>
              </w:rPr>
            </w:pPr>
            <w:r>
              <w:rPr>
                <w:sz w:val="20"/>
                <w:szCs w:val="20"/>
              </w:rPr>
              <w:t>1.556.856,00</w:t>
            </w:r>
          </w:p>
        </w:tc>
      </w:tr>
    </w:tbl>
    <w:p w:rsidR="00086DE0" w:rsidRDefault="00086DE0" w:rsidP="00086DE0">
      <w:pPr>
        <w:jc w:val="both"/>
        <w:rPr>
          <w:snapToGrid w:val="0"/>
          <w:lang w:eastAsia="en-US"/>
        </w:rPr>
      </w:pPr>
    </w:p>
    <w:p w:rsidR="00086DE0" w:rsidRPr="00847F1E" w:rsidRDefault="00086DE0" w:rsidP="00086DE0">
      <w:pPr>
        <w:spacing w:after="120"/>
        <w:jc w:val="both"/>
      </w:pPr>
      <w:r>
        <w:t>Z</w:t>
      </w:r>
      <w:r w:rsidRPr="0016369E">
        <w:t>a društva</w:t>
      </w:r>
      <w:r>
        <w:t xml:space="preserve"> FINVEST CORP d.d., Čabar, Hotel CENTRAL d.d., Zagreb, HOTELI ZADAR d.d., Zadar, INFOSISTEM d.d., Zagreb, MARASKA d.d., Zadar, MEĐIMURKA d.d., Čakovec, OPREMA-STROJEVI - d.d., Ludbreg, PARKOVI d.d., Varaždin, PREHRANA, d.d., Kamen (Grad Split), RIBNJAČARSTVO POLJANA d.d., Ribnjaci, STRAŽAPLASTIKA d.d., Hum Na Sutli, ĐAKOVAČKA VINA d.d., Mandićevac (Općina Drenje), UTD RAGUSA d.d., Dubrovnik, VIS Konfekcija d.d., Varaždin, ŽITOPROIZVOD d.d., Karlovac, MERCATOR-H d.o.o., Sesvete, JADRAN HOTELI d.d., Rijeka, GIRK KALUN d.d., Drniš, HOTELI KOLOČEP d.d., Koločep (Grad Dubrovnik) i TANKERSKA PLOVIDBA d.d., Zadar nisu </w:t>
      </w:r>
      <w:r w:rsidRPr="00E653BC">
        <w:t>dostavljen</w:t>
      </w:r>
      <w:r>
        <w:t>e</w:t>
      </w:r>
      <w:r w:rsidRPr="00E653BC">
        <w:t xml:space="preserve"> </w:t>
      </w:r>
      <w:r w:rsidRPr="00847F1E">
        <w:t>prijav</w:t>
      </w:r>
      <w:r>
        <w:t>e i uplaćena jamčevina, te je postupak za navedena društva završio</w:t>
      </w:r>
      <w:r w:rsidRPr="00847F1E">
        <w:t>.</w:t>
      </w:r>
    </w:p>
    <w:p w:rsidR="00086DE0" w:rsidRPr="0016369E" w:rsidRDefault="00086DE0" w:rsidP="00086DE0">
      <w:pPr>
        <w:spacing w:after="120"/>
        <w:jc w:val="both"/>
      </w:pPr>
      <w:r>
        <w:t xml:space="preserve">Za društva </w:t>
      </w:r>
      <w:r w:rsidRPr="00064170">
        <w:t>CHROMOS BOJE I LAKOVI d.d., Zagreb</w:t>
      </w:r>
      <w:r>
        <w:t xml:space="preserve">, </w:t>
      </w:r>
      <w:r w:rsidRPr="00064170">
        <w:t>MEĐIMURJE - BIDRA d.d., Čakovec</w:t>
      </w:r>
      <w:r>
        <w:t xml:space="preserve">, </w:t>
      </w:r>
      <w:r w:rsidRPr="00064170">
        <w:t>TRIBINA d.o.o., Zagreb</w:t>
      </w:r>
      <w:r>
        <w:t xml:space="preserve">, </w:t>
      </w:r>
      <w:r w:rsidRPr="00064170">
        <w:t>UTENZILIJA d.d., Zagreb</w:t>
      </w:r>
      <w:r>
        <w:t>,</w:t>
      </w:r>
      <w:r w:rsidRPr="00064170">
        <w:t xml:space="preserve"> VELEPROMET VUKOVAR d.d., Vukovar</w:t>
      </w:r>
      <w:r>
        <w:t xml:space="preserve">, </w:t>
      </w:r>
      <w:r w:rsidRPr="00064170">
        <w:t>Hotel Dubrovnik d.d., Zagreb</w:t>
      </w:r>
      <w:r>
        <w:t>,</w:t>
      </w:r>
      <w:r w:rsidRPr="00064170">
        <w:t xml:space="preserve"> PROMET GRAĐENJE d.o.o., Požega</w:t>
      </w:r>
      <w:r>
        <w:t>,</w:t>
      </w:r>
      <w:r w:rsidRPr="00064170">
        <w:t xml:space="preserve"> </w:t>
      </w:r>
      <w:r>
        <w:t>KAMEN d.d., Pazin, Cresanka d.d., Cres</w:t>
      </w:r>
      <w:r w:rsidRPr="00064170">
        <w:t xml:space="preserve"> </w:t>
      </w:r>
      <w:r>
        <w:t xml:space="preserve">i </w:t>
      </w:r>
      <w:r w:rsidRPr="00064170">
        <w:t>LAGUNA NOVIGRAD d.d., Novigrad</w:t>
      </w:r>
      <w:r>
        <w:t xml:space="preserve"> zaprimljene su valjane prijave i uplaćena jamčevina, te su d</w:t>
      </w:r>
      <w:r w:rsidRPr="00847F1E">
        <w:t>ana</w:t>
      </w:r>
      <w:r>
        <w:t xml:space="preserve"> 19. i 30. travnja i 14. listopada 2019. godine</w:t>
      </w:r>
      <w:r w:rsidRPr="00847F1E">
        <w:t xml:space="preserve"> održan</w:t>
      </w:r>
      <w:r>
        <w:t>i</w:t>
      </w:r>
      <w:r w:rsidRPr="00847F1E">
        <w:t xml:space="preserve"> postup</w:t>
      </w:r>
      <w:r>
        <w:t xml:space="preserve">ci javnog nadmetanja na kojima su prodane dionice i udjeli navedenih društava po početnim cijenama kako je navedeno u gornjoj tablici, osim za društvo </w:t>
      </w:r>
      <w:r w:rsidRPr="00360918">
        <w:t>Hotel Dubrovnik d.d., Zagreb</w:t>
      </w:r>
      <w:r>
        <w:t xml:space="preserve"> gdje je zaprimljeno 5 prijava i čije dionice su prodane najboljem ponuditelju po cijeni od </w:t>
      </w:r>
      <w:r w:rsidRPr="00360918">
        <w:t>311.400,00</w:t>
      </w:r>
      <w:r>
        <w:t xml:space="preserve"> kuna.</w:t>
      </w:r>
    </w:p>
    <w:p w:rsidR="004D0CF3" w:rsidRDefault="004D0CF3">
      <w:bookmarkStart w:id="0" w:name="_GoBack"/>
      <w:bookmarkEnd w:id="0"/>
    </w:p>
    <w:sectPr w:rsidR="004D0C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E0"/>
    <w:rsid w:val="00086DE0"/>
    <w:rsid w:val="004D0C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DE0"/>
    <w:pPr>
      <w:spacing w:after="0" w:line="240" w:lineRule="auto"/>
    </w:pPr>
    <w:rPr>
      <w:rFonts w:eastAsia="Times New Roman"/>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DE0"/>
    <w:pPr>
      <w:spacing w:after="0" w:line="240" w:lineRule="auto"/>
    </w:pPr>
    <w:rPr>
      <w:rFonts w:eastAsia="Times New Roman"/>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Velimir Mandić</dc:creator>
  <cp:lastModifiedBy>Velimir Mandić</cp:lastModifiedBy>
  <cp:revision>1</cp:revision>
  <dcterms:created xsi:type="dcterms:W3CDTF">2019-11-13T13:48:00Z</dcterms:created>
  <dcterms:modified xsi:type="dcterms:W3CDTF">2019-11-13T13:49:00Z</dcterms:modified>
</cp:coreProperties>
</file>